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10: Access Control in General-Purpose OSs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We provide an overview of memory and general object protection in general-purpose OSs.  This lecture follows P&amp;P, Sections 4.3 and 4.4.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Memory and Address Protection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Reference: P&amp;P, Section 4.2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Goals of memory protection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Techniques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Fences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Base/Bounds Registers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Tagging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Segmentation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Paging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Paging with Segmentation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Case Study:</w:t>
      </w:r>
      <w:r>
        <w:rPr>
          <w:rFonts w:ascii="Helvetica"/>
          <w:sz w:val="24"/>
          <w:szCs w:val="24"/>
          <w:rtl w:val="0"/>
          <w:lang w:val="en-US"/>
        </w:rPr>
        <w:t xml:space="preserve"> Intel IA-32 real-address mode (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Intel 64 and IA-32 Architectures: Software Developer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s Manual</w:t>
      </w:r>
      <w:r>
        <w:rPr>
          <w:rFonts w:ascii="Helvetica"/>
          <w:sz w:val="24"/>
          <w:szCs w:val="24"/>
          <w:rtl w:val="0"/>
          <w:lang w:val="en-US"/>
        </w:rPr>
        <w:t>,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Volume 3B, Chapter 20)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Protection of General Objects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Reference: P&amp;P, Section 4.4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Access Control Matrix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Directory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Access Control List</w:t>
      </w:r>
      <w:r>
        <w:rPr>
          <w:rFonts w:ascii="Helvetica"/>
          <w:sz w:val="24"/>
          <w:szCs w:val="24"/>
          <w:rtl w:val="0"/>
          <w:lang w:val="en-US"/>
        </w:rPr>
        <w:t xml:space="preserve"> (Example: ACLs in the Andrew File System)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Role-Based Access Control</w:t>
      </w:r>
      <w:r>
        <w:rPr>
          <w:rFonts w:ascii="Helvetica"/>
          <w:sz w:val="24"/>
          <w:szCs w:val="24"/>
          <w:rtl w:val="0"/>
          <w:lang w:val="en-US"/>
        </w:rPr>
        <w:t xml:space="preserve"> (RBAC; Example: ANSI RBAC Model)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Capability</w:t>
      </w:r>
      <w:r>
        <w:rPr>
          <w:rFonts w:ascii="Helvetica"/>
          <w:sz w:val="24"/>
          <w:szCs w:val="24"/>
          <w:rtl w:val="0"/>
          <w:lang w:val="en-US"/>
        </w:rPr>
        <w:t xml:space="preserve"> (Example: Kerberos)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P&amp;P, Chapter 4, Exercises 1 - 21.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Describe the memory models and protection schemes available for the Intel 64 and IA-32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protected mode.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” 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See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Intel 64 and IA-32 Architectures: Software Developer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s Manual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, Volume 3A, Chapters 3 - 5.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When running Linux on an Intel architecture, which memory model and protection schemes does it use?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10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